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EDB6" w14:textId="77777777" w:rsidR="003859FB" w:rsidRPr="0004641C" w:rsidRDefault="003859FB" w:rsidP="003859FB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41C">
        <w:rPr>
          <w:rFonts w:ascii="Times New Roman" w:hAnsi="Times New Roman"/>
          <w:sz w:val="24"/>
          <w:szCs w:val="24"/>
        </w:rPr>
        <w:t xml:space="preserve">Анатомо-физиологические особенности доношенного и недоношенного ребенка. Пограничные состояния. </w:t>
      </w:r>
    </w:p>
    <w:p w14:paraId="31120675" w14:textId="77777777" w:rsidR="003859FB" w:rsidRDefault="003859FB" w:rsidP="003859F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8E77D8" w14:textId="77777777" w:rsidR="003859FB" w:rsidRPr="0004641C" w:rsidRDefault="003859FB" w:rsidP="003859FB">
      <w:pPr>
        <w:pStyle w:val="a3"/>
        <w:numPr>
          <w:ilvl w:val="0"/>
          <w:numId w:val="1"/>
        </w:numPr>
        <w:suppressAutoHyphens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04641C">
        <w:rPr>
          <w:rFonts w:ascii="Times New Roman" w:hAnsi="Times New Roman"/>
          <w:sz w:val="24"/>
          <w:szCs w:val="24"/>
        </w:rPr>
        <w:t>Иммунная тромбоцитопения. Этиология. Патогенез. Классификация. Клиника. Диагностика, дифференциальный диагноз. Принципы лечения.</w:t>
      </w:r>
    </w:p>
    <w:p w14:paraId="43985BEE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0B97B8" w14:textId="77777777" w:rsidR="003859FB" w:rsidRPr="0004641C" w:rsidRDefault="003859FB" w:rsidP="003859FB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41C">
        <w:rPr>
          <w:rFonts w:ascii="Times New Roman" w:hAnsi="Times New Roman"/>
          <w:color w:val="000000"/>
          <w:sz w:val="24"/>
          <w:szCs w:val="24"/>
        </w:rPr>
        <w:t>Коммуникативная компетентность врача.</w:t>
      </w:r>
    </w:p>
    <w:p w14:paraId="22C85B04" w14:textId="77777777" w:rsidR="003859FB" w:rsidRPr="0004641C" w:rsidRDefault="003859FB" w:rsidP="003859F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024015" w14:textId="396D5128" w:rsidR="003859FB" w:rsidRPr="00525B67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B67">
        <w:rPr>
          <w:rFonts w:ascii="Times New Roman" w:hAnsi="Times New Roman"/>
          <w:sz w:val="24"/>
          <w:szCs w:val="24"/>
        </w:rPr>
        <w:t xml:space="preserve">Преимущества грудного вскармливания, характеристика грудного молока, профилактика </w:t>
      </w:r>
      <w:proofErr w:type="spellStart"/>
      <w:r w:rsidRPr="00525B67">
        <w:rPr>
          <w:rFonts w:ascii="Times New Roman" w:hAnsi="Times New Roman"/>
          <w:sz w:val="24"/>
          <w:szCs w:val="24"/>
        </w:rPr>
        <w:t>гипогалактии</w:t>
      </w:r>
      <w:proofErr w:type="spellEnd"/>
      <w:r w:rsidRPr="00525B67">
        <w:rPr>
          <w:rFonts w:ascii="Times New Roman" w:hAnsi="Times New Roman"/>
          <w:sz w:val="24"/>
          <w:szCs w:val="24"/>
        </w:rPr>
        <w:t xml:space="preserve">. Современные принципы введения прикорма </w:t>
      </w:r>
    </w:p>
    <w:p w14:paraId="5C615E56" w14:textId="77777777" w:rsidR="003859FB" w:rsidRDefault="003859FB" w:rsidP="003859F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CFAFC" w14:textId="77777777" w:rsidR="003859FB" w:rsidRPr="00344C81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C81">
        <w:rPr>
          <w:rFonts w:ascii="Times New Roman" w:hAnsi="Times New Roman"/>
          <w:sz w:val="24"/>
          <w:szCs w:val="24"/>
        </w:rPr>
        <w:t xml:space="preserve">Анемический синдром в педиатрии. Дифференциальная диагностика. Тактика ведения. </w:t>
      </w:r>
    </w:p>
    <w:p w14:paraId="55E5650B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07AF6" w14:textId="521007DE" w:rsidR="002E656E" w:rsidRDefault="003859FB" w:rsidP="009A1C6F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C81">
        <w:rPr>
          <w:rFonts w:ascii="Times New Roman" w:hAnsi="Times New Roman"/>
          <w:sz w:val="24"/>
          <w:szCs w:val="24"/>
        </w:rPr>
        <w:t xml:space="preserve">Понятие, цели, задачи медицинской реабилитации. </w:t>
      </w:r>
    </w:p>
    <w:p w14:paraId="4C0AC37D" w14:textId="77777777" w:rsidR="009A1C6F" w:rsidRPr="009A1C6F" w:rsidRDefault="009A1C6F" w:rsidP="009A1C6F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FD32DF" w14:textId="650987C9" w:rsidR="003859FB" w:rsidRPr="00525B67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B67">
        <w:rPr>
          <w:rFonts w:ascii="Times New Roman" w:hAnsi="Times New Roman"/>
          <w:sz w:val="24"/>
          <w:szCs w:val="24"/>
        </w:rPr>
        <w:t>Искусственное вскармливание. Лечебные заменители грудного молока, показания к назначению у детей с синдромом срыгивания, при  непереносимости белка, функциональных нарушениях кишечника.</w:t>
      </w:r>
    </w:p>
    <w:p w14:paraId="25957C87" w14:textId="77777777" w:rsidR="003859FB" w:rsidRDefault="003859FB" w:rsidP="003859F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D70B4D" w14:textId="77777777" w:rsidR="003859FB" w:rsidRPr="00344C81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C81">
        <w:rPr>
          <w:rFonts w:ascii="Times New Roman" w:hAnsi="Times New Roman"/>
          <w:sz w:val="24"/>
          <w:szCs w:val="24"/>
        </w:rPr>
        <w:t xml:space="preserve">Семейный </w:t>
      </w:r>
      <w:proofErr w:type="spellStart"/>
      <w:r w:rsidRPr="00344C81">
        <w:rPr>
          <w:rFonts w:ascii="Times New Roman" w:hAnsi="Times New Roman"/>
          <w:sz w:val="24"/>
          <w:szCs w:val="24"/>
        </w:rPr>
        <w:t>сфероцитоз</w:t>
      </w:r>
      <w:proofErr w:type="spellEnd"/>
      <w:r w:rsidRPr="00344C81">
        <w:rPr>
          <w:rFonts w:ascii="Times New Roman" w:hAnsi="Times New Roman"/>
          <w:sz w:val="24"/>
          <w:szCs w:val="24"/>
        </w:rPr>
        <w:t xml:space="preserve"> (гемолитическая анемия с внутриклеточным гемолизом). Этиология, патогенез. Клиника. Консервативные и хирургические методы лечения </w:t>
      </w:r>
    </w:p>
    <w:p w14:paraId="3ED97505" w14:textId="77777777" w:rsidR="003859FB" w:rsidRDefault="003859FB" w:rsidP="003859F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6B17F5" w14:textId="77777777" w:rsidR="003859FB" w:rsidRPr="00344C81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C81">
        <w:rPr>
          <w:rFonts w:ascii="Times New Roman" w:hAnsi="Times New Roman"/>
          <w:sz w:val="24"/>
          <w:szCs w:val="24"/>
        </w:rPr>
        <w:t>Мультидисциплинарная бригада как функциональная единица лечебного процесса</w:t>
      </w:r>
    </w:p>
    <w:p w14:paraId="2984FD7B" w14:textId="15474042" w:rsidR="003859FB" w:rsidRDefault="003859FB"/>
    <w:p w14:paraId="5F3B68CA" w14:textId="7C67595A" w:rsidR="003859FB" w:rsidRPr="00525B67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B67">
        <w:rPr>
          <w:rFonts w:ascii="Times New Roman" w:hAnsi="Times New Roman"/>
          <w:sz w:val="24"/>
          <w:szCs w:val="24"/>
        </w:rPr>
        <w:t>Рахит. Этиология, патогенез, клиника, классификация, диагностика. Лечение. Профилактика.</w:t>
      </w:r>
    </w:p>
    <w:p w14:paraId="052FF6D0" w14:textId="77777777" w:rsidR="003859FB" w:rsidRDefault="003859FB" w:rsidP="003859F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1C2C7B" w14:textId="43C5C6CF" w:rsidR="003859FB" w:rsidRPr="00525B67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B67">
        <w:rPr>
          <w:rFonts w:ascii="Times New Roman" w:hAnsi="Times New Roman"/>
          <w:sz w:val="24"/>
          <w:szCs w:val="24"/>
        </w:rPr>
        <w:t>Хронические гепатиты. Классификация. Клинические проявления. Лабораторная диагностика. Дифференциальный диагноз. Современные принципы терапии.</w:t>
      </w:r>
    </w:p>
    <w:p w14:paraId="7FE336E2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BD71E3" w14:textId="19C281BE" w:rsidR="003859FB" w:rsidRPr="00525B67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C81">
        <w:rPr>
          <w:rFonts w:ascii="Times New Roman" w:hAnsi="Times New Roman"/>
          <w:bCs/>
          <w:sz w:val="24"/>
          <w:szCs w:val="24"/>
        </w:rPr>
        <w:t>Информатизация в здравоохранении.</w:t>
      </w:r>
    </w:p>
    <w:p w14:paraId="55F81842" w14:textId="77777777" w:rsidR="00525B67" w:rsidRPr="009A1C6F" w:rsidRDefault="00525B67" w:rsidP="009A1C6F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A06524" w14:textId="77777777" w:rsidR="003859FB" w:rsidRPr="001D7672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672">
        <w:rPr>
          <w:rFonts w:ascii="Times New Roman" w:hAnsi="Times New Roman"/>
          <w:sz w:val="24"/>
          <w:szCs w:val="24"/>
        </w:rPr>
        <w:t xml:space="preserve">Дифференциальный диагноз </w:t>
      </w:r>
      <w:proofErr w:type="spellStart"/>
      <w:r w:rsidRPr="001D7672">
        <w:rPr>
          <w:rFonts w:ascii="Times New Roman" w:hAnsi="Times New Roman"/>
          <w:sz w:val="24"/>
          <w:szCs w:val="24"/>
        </w:rPr>
        <w:t>желтух</w:t>
      </w:r>
      <w:proofErr w:type="spellEnd"/>
      <w:r w:rsidRPr="001D7672">
        <w:rPr>
          <w:rFonts w:ascii="Times New Roman" w:hAnsi="Times New Roman"/>
          <w:sz w:val="24"/>
          <w:szCs w:val="24"/>
        </w:rPr>
        <w:t xml:space="preserve"> у новорожденных детей. Классификация. Основные принципы диагностики и лечения различных форм </w:t>
      </w:r>
      <w:proofErr w:type="spellStart"/>
      <w:r w:rsidRPr="001D7672">
        <w:rPr>
          <w:rFonts w:ascii="Times New Roman" w:hAnsi="Times New Roman"/>
          <w:sz w:val="24"/>
          <w:szCs w:val="24"/>
        </w:rPr>
        <w:t>желтух</w:t>
      </w:r>
      <w:proofErr w:type="spellEnd"/>
      <w:r w:rsidRPr="001D7672">
        <w:rPr>
          <w:rFonts w:ascii="Times New Roman" w:hAnsi="Times New Roman"/>
          <w:sz w:val="24"/>
          <w:szCs w:val="24"/>
        </w:rPr>
        <w:t>.</w:t>
      </w:r>
    </w:p>
    <w:p w14:paraId="53551D66" w14:textId="77777777" w:rsidR="003859FB" w:rsidRDefault="003859FB" w:rsidP="003859F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55ADB2" w14:textId="77777777" w:rsidR="003859FB" w:rsidRPr="001D7672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7672">
        <w:rPr>
          <w:rFonts w:ascii="Times New Roman" w:hAnsi="Times New Roman"/>
          <w:sz w:val="24"/>
          <w:szCs w:val="24"/>
        </w:rPr>
        <w:t>Кислотозависимые</w:t>
      </w:r>
      <w:proofErr w:type="spellEnd"/>
      <w:r w:rsidRPr="001D7672">
        <w:rPr>
          <w:rFonts w:ascii="Times New Roman" w:hAnsi="Times New Roman"/>
          <w:sz w:val="24"/>
          <w:szCs w:val="24"/>
        </w:rPr>
        <w:t xml:space="preserve"> заболевания у детей (хронические гастриты, гастродуодениты). </w:t>
      </w:r>
      <w:r>
        <w:rPr>
          <w:rFonts w:ascii="Times New Roman" w:hAnsi="Times New Roman"/>
          <w:sz w:val="24"/>
          <w:szCs w:val="24"/>
        </w:rPr>
        <w:t>Этиология</w:t>
      </w:r>
      <w:r w:rsidRPr="001D7672">
        <w:rPr>
          <w:rFonts w:ascii="Times New Roman" w:hAnsi="Times New Roman"/>
          <w:sz w:val="24"/>
          <w:szCs w:val="24"/>
        </w:rPr>
        <w:t>, патогенез, лечение.</w:t>
      </w:r>
    </w:p>
    <w:p w14:paraId="08F53EC3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75820D" w14:textId="754786C1" w:rsidR="003859FB" w:rsidRPr="00525B67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672">
        <w:rPr>
          <w:rFonts w:ascii="Times New Roman" w:hAnsi="Times New Roman"/>
          <w:bCs/>
          <w:sz w:val="24"/>
          <w:szCs w:val="24"/>
        </w:rPr>
        <w:t>Обеспечение граждан лекарственными препаратами.</w:t>
      </w:r>
    </w:p>
    <w:p w14:paraId="54099418" w14:textId="77777777" w:rsidR="00525B67" w:rsidRPr="009A1C6F" w:rsidRDefault="00525B67" w:rsidP="009A1C6F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979B27" w14:textId="77777777" w:rsidR="003859FB" w:rsidRPr="005C1272" w:rsidRDefault="003859FB" w:rsidP="00525B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272">
        <w:rPr>
          <w:rFonts w:ascii="Times New Roman" w:hAnsi="Times New Roman"/>
          <w:color w:val="000000"/>
          <w:sz w:val="24"/>
          <w:szCs w:val="24"/>
        </w:rPr>
        <w:t>Гемолитическая болезнь новорожденных. Этиология. Патогенез. Особенности течения заболевания. Лечение. Профилактика.</w:t>
      </w:r>
    </w:p>
    <w:p w14:paraId="3927FA08" w14:textId="77777777" w:rsidR="003859FB" w:rsidRDefault="003859FB" w:rsidP="003859F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AFCB73" w14:textId="77777777" w:rsidR="003859FB" w:rsidRPr="005C1272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272">
        <w:rPr>
          <w:rFonts w:ascii="Times New Roman" w:hAnsi="Times New Roman"/>
          <w:sz w:val="24"/>
          <w:szCs w:val="24"/>
        </w:rPr>
        <w:t xml:space="preserve">Язвенная болезнь двенадцатиперстной кишки. Этиология. Патогенез.  Клиника. Лечение. </w:t>
      </w:r>
    </w:p>
    <w:p w14:paraId="6C1CE852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09810F" w14:textId="3E44F79F" w:rsidR="003859FB" w:rsidRPr="009A1C6F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272">
        <w:rPr>
          <w:rFonts w:ascii="Times New Roman" w:hAnsi="Times New Roman"/>
          <w:bCs/>
          <w:sz w:val="24"/>
          <w:szCs w:val="24"/>
        </w:rPr>
        <w:t>Развитие паллиативной медицинской помощи.</w:t>
      </w:r>
    </w:p>
    <w:p w14:paraId="76DC6D2B" w14:textId="77777777" w:rsidR="009A1C6F" w:rsidRPr="009A1C6F" w:rsidRDefault="009A1C6F" w:rsidP="009A1C6F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0D195B" w14:textId="77777777" w:rsidR="003859FB" w:rsidRPr="009F2885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885">
        <w:rPr>
          <w:rFonts w:ascii="Times New Roman" w:hAnsi="Times New Roman"/>
          <w:sz w:val="24"/>
          <w:szCs w:val="24"/>
        </w:rPr>
        <w:t>Гипервитаминоз Д. Этиология, патогенез, клиника, диагностика, лечение, профилактика.</w:t>
      </w:r>
    </w:p>
    <w:p w14:paraId="5E9272CD" w14:textId="77777777" w:rsidR="003859FB" w:rsidRPr="009F2885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4B0BE6" w14:textId="77777777" w:rsidR="003859FB" w:rsidRPr="009F2885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885">
        <w:rPr>
          <w:rFonts w:ascii="Times New Roman" w:hAnsi="Times New Roman"/>
          <w:sz w:val="24"/>
          <w:szCs w:val="24"/>
        </w:rPr>
        <w:t>Современный календарь прививок.</w:t>
      </w:r>
    </w:p>
    <w:p w14:paraId="61143FD5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E1C0F1" w14:textId="00C6A44F" w:rsidR="003859FB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885">
        <w:rPr>
          <w:rFonts w:ascii="Times New Roman" w:hAnsi="Times New Roman"/>
          <w:sz w:val="24"/>
          <w:szCs w:val="24"/>
        </w:rPr>
        <w:t>Теоретические аспекты врачебной этики и медицинской деонтологии. Этика и деонтология врача.</w:t>
      </w:r>
    </w:p>
    <w:p w14:paraId="5F9A122F" w14:textId="77777777" w:rsidR="00525B67" w:rsidRPr="00525B67" w:rsidRDefault="00525B67" w:rsidP="00525B6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0E4AF1" w14:textId="77777777" w:rsidR="003859FB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885">
        <w:rPr>
          <w:rFonts w:ascii="Times New Roman" w:hAnsi="Times New Roman"/>
          <w:sz w:val="24"/>
          <w:szCs w:val="24"/>
        </w:rPr>
        <w:t>Железодефицитные анемии у детей раннего возраста. Этиология, патогенез, клиника, диаг</w:t>
      </w:r>
      <w:r>
        <w:rPr>
          <w:rFonts w:ascii="Times New Roman" w:hAnsi="Times New Roman"/>
          <w:sz w:val="24"/>
          <w:szCs w:val="24"/>
        </w:rPr>
        <w:t>ностика. Лечение и профилактика.</w:t>
      </w:r>
    </w:p>
    <w:p w14:paraId="4E5DD7E4" w14:textId="77777777" w:rsidR="003859FB" w:rsidRPr="009F2885" w:rsidRDefault="003859FB" w:rsidP="003859FB">
      <w:pPr>
        <w:pStyle w:val="a3"/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302597" w14:textId="77777777" w:rsidR="003859FB" w:rsidRPr="009F2885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885">
        <w:rPr>
          <w:rFonts w:ascii="Times New Roman" w:hAnsi="Times New Roman"/>
          <w:sz w:val="24"/>
          <w:szCs w:val="24"/>
        </w:rPr>
        <w:t>Классификация нормальных поствакцинальных реакций, осложнений. Тактика дальнейшей вакцинации. Вакцинация детей группы риска</w:t>
      </w:r>
    </w:p>
    <w:p w14:paraId="2F1ECA94" w14:textId="77777777" w:rsidR="003859FB" w:rsidRDefault="003859FB" w:rsidP="003859F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4E5680" w14:textId="24ED63D2" w:rsidR="003859FB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885">
        <w:rPr>
          <w:rFonts w:ascii="Times New Roman" w:hAnsi="Times New Roman"/>
          <w:sz w:val="24"/>
          <w:szCs w:val="24"/>
        </w:rPr>
        <w:t>Клятва врача. Врачебная тайна. Врачебные ошибки: определение, классификация, причины возникновения, отличие от халатности и профессиональных правонарушений</w:t>
      </w:r>
    </w:p>
    <w:p w14:paraId="421B41EF" w14:textId="77777777" w:rsidR="00525B67" w:rsidRPr="00525B67" w:rsidRDefault="00525B67" w:rsidP="00525B6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CAF2E6" w14:textId="77777777" w:rsidR="003859FB" w:rsidRPr="00766A6E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A6E">
        <w:rPr>
          <w:rFonts w:ascii="Times New Roman" w:hAnsi="Times New Roman"/>
          <w:sz w:val="24"/>
          <w:szCs w:val="24"/>
        </w:rPr>
        <w:t xml:space="preserve">Хронические расстройства питания (дистрофии) у детей раннего возраста. Этиология, патогенез, клиника, классификация. Лечение гипотрофии </w:t>
      </w:r>
      <w:r w:rsidRPr="00766A6E">
        <w:rPr>
          <w:rFonts w:ascii="Times New Roman" w:hAnsi="Times New Roman"/>
          <w:sz w:val="24"/>
          <w:szCs w:val="24"/>
          <w:lang w:val="en-US"/>
        </w:rPr>
        <w:t>I</w:t>
      </w:r>
      <w:r w:rsidRPr="00766A6E">
        <w:rPr>
          <w:rFonts w:ascii="Times New Roman" w:hAnsi="Times New Roman"/>
          <w:sz w:val="24"/>
          <w:szCs w:val="24"/>
        </w:rPr>
        <w:t xml:space="preserve"> и </w:t>
      </w:r>
      <w:r w:rsidRPr="00766A6E">
        <w:rPr>
          <w:rFonts w:ascii="Times New Roman" w:hAnsi="Times New Roman"/>
          <w:sz w:val="24"/>
          <w:szCs w:val="24"/>
          <w:lang w:val="en-US"/>
        </w:rPr>
        <w:t>II</w:t>
      </w:r>
      <w:r w:rsidRPr="00766A6E">
        <w:rPr>
          <w:rFonts w:ascii="Times New Roman" w:hAnsi="Times New Roman"/>
          <w:sz w:val="24"/>
          <w:szCs w:val="24"/>
        </w:rPr>
        <w:t xml:space="preserve"> степени</w:t>
      </w:r>
    </w:p>
    <w:p w14:paraId="0DD52E23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579A41" w14:textId="77777777" w:rsidR="003859FB" w:rsidRPr="00766A6E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A6E">
        <w:rPr>
          <w:rFonts w:ascii="Times New Roman" w:hAnsi="Times New Roman"/>
          <w:sz w:val="24"/>
          <w:szCs w:val="24"/>
        </w:rPr>
        <w:t xml:space="preserve">Документация участкового врача-педиатра. Функциональные обязанности и анализ показателей  деятельности участкового врача. </w:t>
      </w:r>
    </w:p>
    <w:p w14:paraId="29C58987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39D8B0" w14:textId="77777777" w:rsidR="003859FB" w:rsidRPr="00766A6E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A6E">
        <w:rPr>
          <w:rFonts w:ascii="Times New Roman" w:hAnsi="Times New Roman"/>
          <w:sz w:val="24"/>
          <w:szCs w:val="24"/>
        </w:rPr>
        <w:t>Права пациентов. Права и социальная защита медицинских работников.</w:t>
      </w:r>
    </w:p>
    <w:p w14:paraId="383A86D8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AB113B" w14:textId="6D083D4A" w:rsidR="003859FB" w:rsidRPr="00525B67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B67">
        <w:rPr>
          <w:rFonts w:ascii="Times New Roman" w:hAnsi="Times New Roman"/>
          <w:sz w:val="24"/>
          <w:szCs w:val="24"/>
        </w:rPr>
        <w:t>Диспансеризация здорового ребенка, ее цели и задачи.</w:t>
      </w:r>
    </w:p>
    <w:p w14:paraId="59C0D55B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5E47E" w14:textId="04B19DDB" w:rsidR="003859FB" w:rsidRPr="00525B67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B67">
        <w:rPr>
          <w:rFonts w:ascii="Times New Roman" w:hAnsi="Times New Roman"/>
          <w:sz w:val="24"/>
          <w:szCs w:val="24"/>
        </w:rPr>
        <w:t xml:space="preserve">Дефект межжелудочковой перегородки. Гемодинамика, клиника, диагностика, лечебная тактика. Дефект межпредсердной перегородки. Гемодинамика, клиника, диагностика, лечебная тактика. </w:t>
      </w:r>
    </w:p>
    <w:p w14:paraId="23DB86D9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D0FAD7" w14:textId="63CDC8B6" w:rsidR="003859FB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B67">
        <w:rPr>
          <w:rFonts w:ascii="Times New Roman" w:hAnsi="Times New Roman"/>
          <w:sz w:val="24"/>
          <w:szCs w:val="24"/>
        </w:rPr>
        <w:t xml:space="preserve">Понятие о врачебной этике, деонтологии, биоэтике. Морально-этические нормативы взаимоотношений врача и больного </w:t>
      </w:r>
    </w:p>
    <w:p w14:paraId="6899D2AB" w14:textId="77777777" w:rsidR="00525B67" w:rsidRPr="00525B67" w:rsidRDefault="00525B67" w:rsidP="00525B67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21AEAB" w14:textId="77777777" w:rsidR="003859FB" w:rsidRPr="00DF1570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1570">
        <w:rPr>
          <w:rFonts w:ascii="Times New Roman" w:hAnsi="Times New Roman"/>
          <w:sz w:val="24"/>
          <w:szCs w:val="24"/>
        </w:rPr>
        <w:t>Комплексная оценка состояния здоровья детей различных возрастных групп. Группы здоровья.</w:t>
      </w:r>
    </w:p>
    <w:p w14:paraId="253680AF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F373A5" w14:textId="77777777" w:rsidR="003859FB" w:rsidRPr="00DF1570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1570">
        <w:rPr>
          <w:rFonts w:ascii="Times New Roman" w:hAnsi="Times New Roman"/>
          <w:sz w:val="24"/>
          <w:szCs w:val="24"/>
        </w:rPr>
        <w:t>Открытый аортальный проток. Гемодинамика, клиника, диагностика, лечебная тактика. Изолированный стеноз легочной артерии. Гемодинамика, клиника, диагностика, лечебная тактика</w:t>
      </w:r>
    </w:p>
    <w:p w14:paraId="34A85204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B96C84" w14:textId="06990A39" w:rsidR="00525B67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1570">
        <w:rPr>
          <w:rFonts w:ascii="Times New Roman" w:hAnsi="Times New Roman"/>
          <w:sz w:val="24"/>
          <w:szCs w:val="24"/>
        </w:rPr>
        <w:t>Принцип информированного согласия.  Понятие,  значение</w:t>
      </w:r>
    </w:p>
    <w:p w14:paraId="3829D864" w14:textId="77777777" w:rsidR="00525B67" w:rsidRPr="00525B67" w:rsidRDefault="00525B67" w:rsidP="00525B67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538A5D" w14:textId="77777777" w:rsidR="003859FB" w:rsidRPr="00DF1570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1570">
        <w:rPr>
          <w:rFonts w:ascii="Times New Roman" w:hAnsi="Times New Roman"/>
          <w:sz w:val="24"/>
          <w:szCs w:val="24"/>
        </w:rPr>
        <w:t>Принципы диспансерного наблюдения за детьми группы риска.</w:t>
      </w:r>
    </w:p>
    <w:p w14:paraId="57EFC795" w14:textId="77777777" w:rsidR="003859FB" w:rsidRPr="00DF1570" w:rsidRDefault="003859FB" w:rsidP="003859F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C88901" w14:textId="77777777" w:rsidR="003859FB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435">
        <w:rPr>
          <w:rFonts w:ascii="Times New Roman" w:hAnsi="Times New Roman"/>
          <w:sz w:val="24"/>
          <w:szCs w:val="24"/>
        </w:rPr>
        <w:t xml:space="preserve">Современные представления о </w:t>
      </w:r>
      <w:proofErr w:type="spellStart"/>
      <w:r w:rsidRPr="00901435">
        <w:rPr>
          <w:rFonts w:ascii="Times New Roman" w:hAnsi="Times New Roman"/>
          <w:sz w:val="24"/>
          <w:szCs w:val="24"/>
        </w:rPr>
        <w:t>гастроэзофагеальном</w:t>
      </w:r>
      <w:proofErr w:type="spellEnd"/>
      <w:r w:rsidRPr="00901435">
        <w:rPr>
          <w:rFonts w:ascii="Times New Roman" w:hAnsi="Times New Roman"/>
          <w:sz w:val="24"/>
          <w:szCs w:val="24"/>
        </w:rPr>
        <w:t xml:space="preserve"> рефлюксе и </w:t>
      </w:r>
      <w:proofErr w:type="spellStart"/>
      <w:r w:rsidRPr="00901435">
        <w:rPr>
          <w:rFonts w:ascii="Times New Roman" w:hAnsi="Times New Roman"/>
          <w:sz w:val="24"/>
          <w:szCs w:val="24"/>
        </w:rPr>
        <w:t>гастроэзофагеальной</w:t>
      </w:r>
      <w:proofErr w:type="spellEnd"/>
      <w:r w:rsidRPr="009014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435">
        <w:rPr>
          <w:rFonts w:ascii="Times New Roman" w:hAnsi="Times New Roman"/>
          <w:sz w:val="24"/>
          <w:szCs w:val="24"/>
        </w:rPr>
        <w:t>рефлюксной</w:t>
      </w:r>
      <w:proofErr w:type="spellEnd"/>
      <w:r w:rsidRPr="00901435">
        <w:rPr>
          <w:rFonts w:ascii="Times New Roman" w:hAnsi="Times New Roman"/>
          <w:sz w:val="24"/>
          <w:szCs w:val="24"/>
        </w:rPr>
        <w:t xml:space="preserve"> болезни.</w:t>
      </w:r>
    </w:p>
    <w:p w14:paraId="3C3CB817" w14:textId="77777777" w:rsidR="003859FB" w:rsidRDefault="003859FB" w:rsidP="003859FB">
      <w:pPr>
        <w:pStyle w:val="a3"/>
        <w:shd w:val="clear" w:color="auto" w:fill="FFFFFF"/>
        <w:tabs>
          <w:tab w:val="num" w:pos="0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06F2433" w14:textId="77777777" w:rsidR="003859FB" w:rsidRPr="00DF1570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1570">
        <w:rPr>
          <w:rFonts w:ascii="Times New Roman" w:hAnsi="Times New Roman"/>
          <w:sz w:val="24"/>
          <w:szCs w:val="24"/>
        </w:rPr>
        <w:t xml:space="preserve">Медико-социальная экспертиза (МСЭ). Порядок направления на МСЭ. </w:t>
      </w:r>
    </w:p>
    <w:p w14:paraId="6978ED7B" w14:textId="28B5E9C6" w:rsidR="003859FB" w:rsidRDefault="003859FB"/>
    <w:p w14:paraId="60F1FEBE" w14:textId="2567E622" w:rsidR="003859FB" w:rsidRPr="00525B67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B67">
        <w:rPr>
          <w:rFonts w:ascii="Times New Roman" w:hAnsi="Times New Roman"/>
          <w:sz w:val="24"/>
          <w:szCs w:val="24"/>
        </w:rPr>
        <w:t>Организация работы врача-педиатра в детских дошкольных учреждениях. Адаптация ребенка в детском дошкольном учреждении.</w:t>
      </w:r>
    </w:p>
    <w:p w14:paraId="3EC69E42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B21EA5" w14:textId="0FD42A2C" w:rsidR="003859FB" w:rsidRPr="00525B67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B67">
        <w:rPr>
          <w:rFonts w:ascii="Times New Roman" w:hAnsi="Times New Roman"/>
          <w:sz w:val="24"/>
          <w:szCs w:val="24"/>
        </w:rPr>
        <w:t>Неспецифический язвенный колит. Классификация. Клинические формы. Дифференциальный диагноз. Прогноз.</w:t>
      </w:r>
    </w:p>
    <w:p w14:paraId="204E8386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186E83" w14:textId="3685CD77" w:rsidR="003859FB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D3D">
        <w:rPr>
          <w:rFonts w:ascii="Times New Roman" w:hAnsi="Times New Roman"/>
          <w:sz w:val="24"/>
          <w:szCs w:val="24"/>
        </w:rPr>
        <w:t>Единая государственная система предупреждения и ликвидации чрезвычайных ситуаций: задачи, уровни организации, силы и средства, режимы функционирования</w:t>
      </w:r>
    </w:p>
    <w:p w14:paraId="46282F1D" w14:textId="77777777" w:rsidR="00525B67" w:rsidRPr="00525B67" w:rsidRDefault="00525B67" w:rsidP="00525B67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8CD1E0" w14:textId="77777777" w:rsidR="003859FB" w:rsidRPr="00D30D3D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D3D">
        <w:rPr>
          <w:rFonts w:ascii="Times New Roman" w:hAnsi="Times New Roman"/>
          <w:sz w:val="24"/>
          <w:szCs w:val="24"/>
        </w:rPr>
        <w:t>Подготовка ребенка к дошкольному учреждению и школе.</w:t>
      </w:r>
    </w:p>
    <w:p w14:paraId="005C5C7D" w14:textId="77777777" w:rsidR="003859FB" w:rsidRPr="00DF1570" w:rsidRDefault="003859FB" w:rsidP="003859F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54E047" w14:textId="77777777" w:rsidR="003859FB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Острый </w:t>
      </w:r>
      <w:r w:rsidRPr="00901435">
        <w:rPr>
          <w:rFonts w:ascii="Times New Roman" w:hAnsi="Times New Roman"/>
          <w:sz w:val="24"/>
          <w:szCs w:val="24"/>
        </w:rPr>
        <w:t>бронхит у детей. Этиология, патогенез, клиника, диагностика, дифференциальная диагностика, лечение.</w:t>
      </w:r>
    </w:p>
    <w:p w14:paraId="3D2CFED4" w14:textId="77777777" w:rsidR="003859FB" w:rsidRDefault="003859FB" w:rsidP="003859FB">
      <w:pPr>
        <w:pStyle w:val="a3"/>
        <w:shd w:val="clear" w:color="auto" w:fill="FFFFFF"/>
        <w:tabs>
          <w:tab w:val="num" w:pos="0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238D69F" w14:textId="32D0A605" w:rsidR="003859FB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D3D">
        <w:rPr>
          <w:rFonts w:ascii="Times New Roman" w:hAnsi="Times New Roman"/>
          <w:sz w:val="24"/>
          <w:szCs w:val="24"/>
        </w:rPr>
        <w:t>Синдром длительного раздавливания: определение, патогенез, периоды клинического течения. Принципы оказания медицинской помощи на этапах эвакуации.</w:t>
      </w:r>
    </w:p>
    <w:p w14:paraId="097DE33E" w14:textId="77777777" w:rsidR="00525B67" w:rsidRPr="00525B67" w:rsidRDefault="00525B67" w:rsidP="00525B6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616562" w14:textId="77777777" w:rsidR="003859FB" w:rsidRPr="001A2518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518">
        <w:rPr>
          <w:rFonts w:ascii="Times New Roman" w:hAnsi="Times New Roman"/>
          <w:sz w:val="24"/>
          <w:szCs w:val="24"/>
        </w:rPr>
        <w:t>Организация работы школьного врача. Основные задачи и направления работы врача.</w:t>
      </w:r>
    </w:p>
    <w:p w14:paraId="657B5377" w14:textId="77777777" w:rsidR="003859FB" w:rsidRPr="00C13891" w:rsidRDefault="003859FB" w:rsidP="003859F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3DE787" w14:textId="77777777" w:rsidR="003859FB" w:rsidRPr="001A2518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518">
        <w:rPr>
          <w:rFonts w:ascii="Times New Roman" w:hAnsi="Times New Roman"/>
          <w:sz w:val="24"/>
          <w:szCs w:val="24"/>
        </w:rPr>
        <w:t>Пневмонии у детей. Классификация. Этиология, патогенез и клиника внебольничных пневмоний. Принципы лечения и диспансерного наблюдения.</w:t>
      </w:r>
    </w:p>
    <w:p w14:paraId="2CE80414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DC64D9" w14:textId="530C6EE1" w:rsidR="00525B67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518">
        <w:rPr>
          <w:rFonts w:ascii="Times New Roman" w:hAnsi="Times New Roman"/>
          <w:sz w:val="24"/>
          <w:szCs w:val="24"/>
        </w:rPr>
        <w:t>Медицинская статистика как наука, ее разделы, значение для практической деятельности врача.</w:t>
      </w:r>
    </w:p>
    <w:p w14:paraId="1F069930" w14:textId="77777777" w:rsidR="00525B67" w:rsidRPr="00525B67" w:rsidRDefault="00525B67" w:rsidP="00525B67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021319" w14:textId="77777777" w:rsidR="003859FB" w:rsidRPr="00C13891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891">
        <w:rPr>
          <w:rFonts w:ascii="Times New Roman" w:hAnsi="Times New Roman"/>
          <w:sz w:val="24"/>
          <w:szCs w:val="24"/>
        </w:rPr>
        <w:t>Питание здоровых детей старше года. Потребность в белках, жирах, углеводах и калориях.</w:t>
      </w:r>
    </w:p>
    <w:p w14:paraId="1CA37C54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E5589D" w14:textId="77777777" w:rsidR="003859FB" w:rsidRPr="00C13891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891">
        <w:rPr>
          <w:rFonts w:ascii="Times New Roman" w:hAnsi="Times New Roman"/>
          <w:sz w:val="24"/>
          <w:szCs w:val="24"/>
        </w:rPr>
        <w:t xml:space="preserve">Муковисцидоз. Классификация. Клиническая картина, диагностика, лечение. </w:t>
      </w:r>
    </w:p>
    <w:p w14:paraId="67855E6B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84117B" w14:textId="77777777" w:rsidR="003859FB" w:rsidRPr="00C13891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891">
        <w:rPr>
          <w:rFonts w:ascii="Times New Roman" w:hAnsi="Times New Roman"/>
          <w:sz w:val="24"/>
          <w:szCs w:val="24"/>
        </w:rPr>
        <w:t>Острая лучевая болезнь: определение, классификация, клиническая картина костномозговой формы острой лучевой болезни.</w:t>
      </w:r>
    </w:p>
    <w:p w14:paraId="3DE626FC" w14:textId="77777777" w:rsidR="003859FB" w:rsidRPr="00344C81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976B63" w14:textId="45246175" w:rsidR="003859FB" w:rsidRPr="00525B67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B67">
        <w:rPr>
          <w:rFonts w:ascii="Times New Roman" w:hAnsi="Times New Roman"/>
          <w:sz w:val="24"/>
          <w:szCs w:val="24"/>
        </w:rPr>
        <w:t xml:space="preserve">Положения по выдаче листка нетрудоспособности по уходу за больным ребенком </w:t>
      </w:r>
    </w:p>
    <w:p w14:paraId="50FF91BA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866176" w14:textId="77777777" w:rsidR="003859FB" w:rsidRPr="001A2518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518">
        <w:rPr>
          <w:rFonts w:ascii="Times New Roman" w:hAnsi="Times New Roman"/>
          <w:sz w:val="24"/>
          <w:szCs w:val="24"/>
        </w:rPr>
        <w:t>Бронхиальная астма у детей и подростков. Классификация. Клиника. Лечение.</w:t>
      </w:r>
    </w:p>
    <w:p w14:paraId="7955E459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D6150A" w14:textId="456E3BBA" w:rsidR="003859FB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518">
        <w:rPr>
          <w:rFonts w:ascii="Times New Roman" w:hAnsi="Times New Roman"/>
          <w:sz w:val="24"/>
          <w:szCs w:val="24"/>
        </w:rPr>
        <w:t xml:space="preserve">Токсическое поражение метиловым спиртом: патогенез, клинические проявления, дифференциальная диагностика с поражениями этиловым спиртом, </w:t>
      </w:r>
      <w:proofErr w:type="spellStart"/>
      <w:r w:rsidRPr="001A2518">
        <w:rPr>
          <w:rFonts w:ascii="Times New Roman" w:hAnsi="Times New Roman"/>
          <w:sz w:val="24"/>
          <w:szCs w:val="24"/>
        </w:rPr>
        <w:t>антидотная</w:t>
      </w:r>
      <w:proofErr w:type="spellEnd"/>
      <w:r w:rsidRPr="001A2518">
        <w:rPr>
          <w:rFonts w:ascii="Times New Roman" w:hAnsi="Times New Roman"/>
          <w:sz w:val="24"/>
          <w:szCs w:val="24"/>
        </w:rPr>
        <w:t xml:space="preserve"> терапия.</w:t>
      </w:r>
    </w:p>
    <w:p w14:paraId="30F6177A" w14:textId="77777777" w:rsidR="00525B67" w:rsidRPr="00525B67" w:rsidRDefault="00525B67" w:rsidP="00525B67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40B8BF" w14:textId="71B9869E" w:rsidR="003859FB" w:rsidRPr="00525B67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B67">
        <w:rPr>
          <w:rFonts w:ascii="Times New Roman" w:hAnsi="Times New Roman"/>
          <w:sz w:val="24"/>
          <w:szCs w:val="24"/>
        </w:rPr>
        <w:t>Совершенствование медицинской помощи новорожденным детям. Цели и задачи дородового и первичного патронажа новорожденного</w:t>
      </w:r>
    </w:p>
    <w:p w14:paraId="7EFC6B4C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AD42BD" w14:textId="77777777" w:rsidR="003859FB" w:rsidRPr="004B276E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76E">
        <w:rPr>
          <w:rFonts w:ascii="Times New Roman" w:hAnsi="Times New Roman"/>
          <w:sz w:val="24"/>
          <w:szCs w:val="24"/>
        </w:rPr>
        <w:t>Ожирение у детей. Этиология. Классификация. Клиника. Диагностика. Тактика ведения.</w:t>
      </w:r>
    </w:p>
    <w:p w14:paraId="75E61783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20E80A" w14:textId="5C6A83B8" w:rsidR="003859FB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76E">
        <w:rPr>
          <w:rFonts w:ascii="Times New Roman" w:hAnsi="Times New Roman"/>
          <w:sz w:val="24"/>
          <w:szCs w:val="24"/>
        </w:rPr>
        <w:t xml:space="preserve">Токсичные поражение фосфорорганическими соединениями: патогенез, клинические проявления, </w:t>
      </w:r>
      <w:proofErr w:type="spellStart"/>
      <w:r w:rsidRPr="004B276E">
        <w:rPr>
          <w:rFonts w:ascii="Times New Roman" w:hAnsi="Times New Roman"/>
          <w:sz w:val="24"/>
          <w:szCs w:val="24"/>
        </w:rPr>
        <w:t>антидотная</w:t>
      </w:r>
      <w:proofErr w:type="spellEnd"/>
      <w:r w:rsidRPr="004B276E">
        <w:rPr>
          <w:rFonts w:ascii="Times New Roman" w:hAnsi="Times New Roman"/>
          <w:sz w:val="24"/>
          <w:szCs w:val="24"/>
        </w:rPr>
        <w:t xml:space="preserve"> терапия, профилактика поражений, оказание медицинской помощи на этапах эвакуации.</w:t>
      </w:r>
    </w:p>
    <w:p w14:paraId="6CC80D9C" w14:textId="77777777" w:rsidR="00525B67" w:rsidRPr="00525B67" w:rsidRDefault="00525B67" w:rsidP="00525B67">
      <w:pPr>
        <w:pStyle w:val="a3"/>
        <w:rPr>
          <w:rFonts w:ascii="Times New Roman" w:hAnsi="Times New Roman"/>
          <w:sz w:val="24"/>
          <w:szCs w:val="24"/>
        </w:rPr>
      </w:pPr>
    </w:p>
    <w:p w14:paraId="7D4C222D" w14:textId="77777777" w:rsidR="00525B67" w:rsidRPr="004B276E" w:rsidRDefault="00525B67" w:rsidP="00525B67">
      <w:pPr>
        <w:pStyle w:val="a3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DE21B9" w14:textId="77777777" w:rsidR="003859FB" w:rsidRPr="004B276E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76E">
        <w:rPr>
          <w:rFonts w:ascii="Times New Roman" w:hAnsi="Times New Roman"/>
          <w:sz w:val="24"/>
          <w:szCs w:val="24"/>
        </w:rPr>
        <w:lastRenderedPageBreak/>
        <w:t xml:space="preserve">Структура и организация работы детской поликлиники. Основные показатели работы детской поликлиники </w:t>
      </w:r>
    </w:p>
    <w:p w14:paraId="70C09F67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B03385" w14:textId="77777777" w:rsidR="003859FB" w:rsidRPr="004B276E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76E">
        <w:rPr>
          <w:rFonts w:ascii="Times New Roman" w:hAnsi="Times New Roman"/>
          <w:sz w:val="24"/>
          <w:szCs w:val="24"/>
        </w:rPr>
        <w:t>Сахарный диабет у детей. Клиника. Диагностика. Ранние и поздние осложнения. Лечение.</w:t>
      </w:r>
    </w:p>
    <w:p w14:paraId="0AB54DF6" w14:textId="77777777" w:rsidR="003859FB" w:rsidRPr="004B276E" w:rsidRDefault="003859FB" w:rsidP="003859F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7C8545" w14:textId="77777777" w:rsidR="003859FB" w:rsidRPr="004B276E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76E">
        <w:rPr>
          <w:rFonts w:ascii="Times New Roman" w:hAnsi="Times New Roman"/>
          <w:sz w:val="24"/>
          <w:szCs w:val="24"/>
        </w:rPr>
        <w:t xml:space="preserve">Реабилитационные технологии в общей лечебной сети, их классификация и краткая характеристика методов. </w:t>
      </w:r>
    </w:p>
    <w:p w14:paraId="32D9B6A5" w14:textId="071E54EC" w:rsidR="003859FB" w:rsidRDefault="003859FB" w:rsidP="003859FB">
      <w:pPr>
        <w:tabs>
          <w:tab w:val="left" w:pos="3921"/>
        </w:tabs>
      </w:pPr>
      <w:r>
        <w:tab/>
      </w:r>
    </w:p>
    <w:p w14:paraId="43CE36D5" w14:textId="53AA4241" w:rsidR="003859FB" w:rsidRPr="00525B67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B67">
        <w:rPr>
          <w:rFonts w:ascii="Times New Roman" w:hAnsi="Times New Roman"/>
          <w:sz w:val="24"/>
          <w:szCs w:val="24"/>
        </w:rPr>
        <w:t>Физическое развитие, методы оценки физического развития. Динамика антропометрических показателей в возрастном аспекте.</w:t>
      </w:r>
    </w:p>
    <w:p w14:paraId="591A72E0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B5F1FC" w14:textId="77777777" w:rsidR="003859FB" w:rsidRPr="004B276E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76E">
        <w:rPr>
          <w:rFonts w:ascii="Times New Roman" w:hAnsi="Times New Roman"/>
          <w:sz w:val="24"/>
          <w:szCs w:val="24"/>
        </w:rPr>
        <w:t>Эндемический зоб. Распространенность. Этиология, патогенез. Классификация степеней увеличения щитовидной железы. Клиника, лечение.</w:t>
      </w:r>
    </w:p>
    <w:p w14:paraId="6D113EFD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AA6612" w14:textId="7D687B3A" w:rsidR="003859FB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76E">
        <w:rPr>
          <w:rFonts w:ascii="Times New Roman" w:hAnsi="Times New Roman"/>
          <w:sz w:val="24"/>
          <w:szCs w:val="24"/>
        </w:rPr>
        <w:t>Организация работы на 1 э</w:t>
      </w:r>
      <w:r>
        <w:rPr>
          <w:rFonts w:ascii="Times New Roman" w:hAnsi="Times New Roman"/>
          <w:sz w:val="24"/>
          <w:szCs w:val="24"/>
        </w:rPr>
        <w:t xml:space="preserve">тапе медицинской реабилитации. </w:t>
      </w:r>
      <w:r w:rsidRPr="004B276E">
        <w:rPr>
          <w:rFonts w:ascii="Times New Roman" w:hAnsi="Times New Roman"/>
          <w:sz w:val="24"/>
          <w:szCs w:val="24"/>
        </w:rPr>
        <w:t xml:space="preserve">Цели и задачи реабилитационных мероприятий, критерии эффективности. </w:t>
      </w:r>
    </w:p>
    <w:p w14:paraId="2C4C5483" w14:textId="77777777" w:rsidR="00525B67" w:rsidRPr="00525B67" w:rsidRDefault="00525B67" w:rsidP="00525B6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F3EFB6" w14:textId="77777777" w:rsidR="003859FB" w:rsidRPr="00F05234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234">
        <w:rPr>
          <w:rFonts w:ascii="Times New Roman" w:hAnsi="Times New Roman"/>
          <w:sz w:val="24"/>
          <w:szCs w:val="24"/>
        </w:rPr>
        <w:t>Нервно-психическое развитие (НПР) детей, методы оценки НПР детей различного возраста. Группы НПР.</w:t>
      </w:r>
    </w:p>
    <w:p w14:paraId="103FE579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5309F3" w14:textId="77777777" w:rsidR="003859FB" w:rsidRPr="00F05234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234">
        <w:rPr>
          <w:rFonts w:ascii="Times New Roman" w:hAnsi="Times New Roman"/>
          <w:sz w:val="24"/>
          <w:szCs w:val="24"/>
        </w:rPr>
        <w:t>Болезнь Крона. Этиология. Патогенез. Классификация. Клинические формы. Внекишечные проявления.</w:t>
      </w:r>
    </w:p>
    <w:p w14:paraId="52B1BBEB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82FDF7" w14:textId="0A9DB599" w:rsidR="003859FB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234">
        <w:rPr>
          <w:rFonts w:ascii="Times New Roman" w:hAnsi="Times New Roman"/>
          <w:sz w:val="24"/>
          <w:szCs w:val="24"/>
        </w:rPr>
        <w:t>Организация работы на 2 этапе медицинской реабилитации. Цели и задачи реабилитационных мероприятий, критерии эффективности.</w:t>
      </w:r>
    </w:p>
    <w:p w14:paraId="5F4C674D" w14:textId="77777777" w:rsidR="00525B67" w:rsidRPr="00525B67" w:rsidRDefault="00525B67" w:rsidP="00525B67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6A9C0F" w14:textId="77777777" w:rsidR="003859FB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435">
        <w:rPr>
          <w:rFonts w:ascii="Times New Roman" w:hAnsi="Times New Roman"/>
          <w:sz w:val="24"/>
          <w:szCs w:val="24"/>
        </w:rPr>
        <w:t>Часто болеющие дети (ЧБД). Определение понятия, группы риска ЧБД. Со</w:t>
      </w:r>
      <w:r>
        <w:rPr>
          <w:rFonts w:ascii="Times New Roman" w:hAnsi="Times New Roman"/>
          <w:sz w:val="24"/>
          <w:szCs w:val="24"/>
        </w:rPr>
        <w:t>временные принципы реабилитации</w:t>
      </w:r>
      <w:r w:rsidRPr="00F05234">
        <w:rPr>
          <w:rFonts w:ascii="Times New Roman" w:hAnsi="Times New Roman"/>
          <w:sz w:val="24"/>
          <w:szCs w:val="24"/>
        </w:rPr>
        <w:t>.</w:t>
      </w:r>
    </w:p>
    <w:p w14:paraId="44F1E548" w14:textId="77777777" w:rsidR="003859FB" w:rsidRDefault="003859FB" w:rsidP="003859FB">
      <w:pPr>
        <w:pStyle w:val="a3"/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F5E27C" w14:textId="77777777" w:rsidR="003859FB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234">
        <w:rPr>
          <w:rFonts w:ascii="Times New Roman" w:hAnsi="Times New Roman"/>
          <w:sz w:val="24"/>
          <w:szCs w:val="24"/>
        </w:rPr>
        <w:t>Дифференциальная диагностика геморрагического синдрома у детей.</w:t>
      </w:r>
    </w:p>
    <w:p w14:paraId="09FE7509" w14:textId="77777777" w:rsidR="003859FB" w:rsidRPr="00F05234" w:rsidRDefault="003859FB" w:rsidP="003859FB">
      <w:pPr>
        <w:pStyle w:val="a3"/>
        <w:rPr>
          <w:rFonts w:ascii="Times New Roman" w:hAnsi="Times New Roman"/>
          <w:sz w:val="24"/>
          <w:szCs w:val="24"/>
        </w:rPr>
      </w:pPr>
    </w:p>
    <w:p w14:paraId="01DC806A" w14:textId="14894CDC" w:rsidR="003859FB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234">
        <w:rPr>
          <w:rFonts w:ascii="Times New Roman" w:hAnsi="Times New Roman"/>
          <w:sz w:val="24"/>
          <w:szCs w:val="24"/>
        </w:rPr>
        <w:t>Организация работы на 3</w:t>
      </w:r>
      <w:r>
        <w:rPr>
          <w:rFonts w:ascii="Times New Roman" w:hAnsi="Times New Roman"/>
          <w:sz w:val="24"/>
          <w:szCs w:val="24"/>
        </w:rPr>
        <w:t xml:space="preserve"> этапе медицинской реабилитации</w:t>
      </w:r>
      <w:r w:rsidRPr="00F05234">
        <w:rPr>
          <w:rFonts w:ascii="Times New Roman" w:hAnsi="Times New Roman"/>
          <w:sz w:val="24"/>
          <w:szCs w:val="24"/>
        </w:rPr>
        <w:t>. Цели и задачи реабилитационных мероприятий, критерии эффективности</w:t>
      </w:r>
      <w:r>
        <w:rPr>
          <w:rFonts w:ascii="Times New Roman" w:hAnsi="Times New Roman"/>
          <w:sz w:val="24"/>
          <w:szCs w:val="24"/>
        </w:rPr>
        <w:t>.</w:t>
      </w:r>
    </w:p>
    <w:p w14:paraId="72565C3A" w14:textId="77777777" w:rsidR="00525B67" w:rsidRPr="00525B67" w:rsidRDefault="00525B67" w:rsidP="00525B67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0C977C" w14:textId="77777777" w:rsidR="003859FB" w:rsidRPr="001D65FD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5FD">
        <w:rPr>
          <w:rFonts w:ascii="Times New Roman" w:hAnsi="Times New Roman"/>
          <w:sz w:val="24"/>
          <w:szCs w:val="24"/>
        </w:rPr>
        <w:t xml:space="preserve">Формы, методы, виды закаливания. Особенности закаливания организованных и неорганизованных детей раннего возраста </w:t>
      </w:r>
    </w:p>
    <w:p w14:paraId="1A1C4ACA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6DD996" w14:textId="77777777" w:rsidR="003859FB" w:rsidRPr="001D65FD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5FD">
        <w:rPr>
          <w:rFonts w:ascii="Times New Roman" w:hAnsi="Times New Roman"/>
          <w:sz w:val="24"/>
          <w:szCs w:val="24"/>
        </w:rPr>
        <w:t xml:space="preserve">Ювенильный ревматоидный артрит (ЮРА). Современные представления об </w:t>
      </w:r>
      <w:proofErr w:type="spellStart"/>
      <w:r w:rsidRPr="001D65FD">
        <w:rPr>
          <w:rFonts w:ascii="Times New Roman" w:hAnsi="Times New Roman"/>
          <w:sz w:val="24"/>
          <w:szCs w:val="24"/>
        </w:rPr>
        <w:t>этиопатогенезе</w:t>
      </w:r>
      <w:proofErr w:type="spellEnd"/>
      <w:r w:rsidRPr="001D65FD">
        <w:rPr>
          <w:rFonts w:ascii="Times New Roman" w:hAnsi="Times New Roman"/>
          <w:sz w:val="24"/>
          <w:szCs w:val="24"/>
        </w:rPr>
        <w:t>. Основные клинические формы (суставная и системная). Диагностические критерии ЮРА. Современные методы лечения.</w:t>
      </w:r>
    </w:p>
    <w:p w14:paraId="73411DCA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20C778" w14:textId="33DF40D2" w:rsidR="003859FB" w:rsidRPr="00525B67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5FD">
        <w:rPr>
          <w:rFonts w:ascii="Times New Roman" w:hAnsi="Times New Roman"/>
          <w:color w:val="000000"/>
          <w:sz w:val="24"/>
          <w:szCs w:val="24"/>
        </w:rPr>
        <w:t>Педагогические  аспекты  в профессиональной деятельности врача.</w:t>
      </w:r>
    </w:p>
    <w:p w14:paraId="16C68432" w14:textId="77777777" w:rsidR="00525B67" w:rsidRPr="00525B67" w:rsidRDefault="00525B67" w:rsidP="00525B6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53AFD7" w14:textId="77777777" w:rsidR="003859FB" w:rsidRPr="005F44B5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4B5">
        <w:rPr>
          <w:rFonts w:ascii="Times New Roman" w:hAnsi="Times New Roman"/>
          <w:sz w:val="24"/>
          <w:szCs w:val="24"/>
        </w:rPr>
        <w:t xml:space="preserve">Недоношенность критерии, особенности физического и моторного развития, особенности выхаживания и дальнейшего диспансерного наблюдения. </w:t>
      </w:r>
    </w:p>
    <w:p w14:paraId="0F8DB98E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143D19" w14:textId="77777777" w:rsidR="003859FB" w:rsidRPr="005F44B5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4B5">
        <w:rPr>
          <w:rFonts w:ascii="Times New Roman" w:hAnsi="Times New Roman"/>
          <w:sz w:val="24"/>
          <w:szCs w:val="24"/>
        </w:rPr>
        <w:t xml:space="preserve">Острая ревматическая лихорадка. Классификация. Этиология. Патогенез. Клиника. Диагностика. Лечение. Профилактика. </w:t>
      </w:r>
    </w:p>
    <w:p w14:paraId="6278D0FB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61269" w14:textId="2DEB30CB" w:rsidR="003859FB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4B5">
        <w:rPr>
          <w:rFonts w:ascii="Times New Roman" w:hAnsi="Times New Roman"/>
          <w:sz w:val="24"/>
          <w:szCs w:val="24"/>
        </w:rPr>
        <w:lastRenderedPageBreak/>
        <w:t>Экспертиза временной нетрудоспособности: определение. Порядок проведения. Порядок выдачи листков нетрудоспособности.</w:t>
      </w:r>
    </w:p>
    <w:p w14:paraId="32BBA986" w14:textId="77777777" w:rsidR="00525B67" w:rsidRPr="00525B67" w:rsidRDefault="00525B67" w:rsidP="00525B67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09082A" w14:textId="77777777" w:rsidR="003859FB" w:rsidRPr="005753EF" w:rsidRDefault="003859FB" w:rsidP="00525B67">
      <w:pPr>
        <w:pStyle w:val="a3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3EF">
        <w:rPr>
          <w:rFonts w:ascii="Times New Roman" w:hAnsi="Times New Roman"/>
          <w:sz w:val="24"/>
          <w:szCs w:val="24"/>
        </w:rPr>
        <w:t>Анализ работы участкового врача, показатели эффективности работы</w:t>
      </w:r>
    </w:p>
    <w:p w14:paraId="538B20CE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765621" w14:textId="77777777" w:rsidR="003859FB" w:rsidRPr="005753EF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3EF">
        <w:rPr>
          <w:rFonts w:ascii="Times New Roman" w:hAnsi="Times New Roman"/>
          <w:sz w:val="24"/>
          <w:szCs w:val="24"/>
        </w:rPr>
        <w:t>Артериальная гипертензия  и гипотензия у детей и подростков. Диагностика, дифференциальная диагностика. Классификация, лечение, профилактика.</w:t>
      </w:r>
    </w:p>
    <w:p w14:paraId="25D2FAEB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F0D56D" w14:textId="6FBD7D38" w:rsidR="003859FB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3EF">
        <w:rPr>
          <w:rStyle w:val="a4"/>
          <w:rFonts w:ascii="Times New Roman" w:hAnsi="Times New Roman"/>
          <w:i w:val="0"/>
          <w:sz w:val="24"/>
          <w:szCs w:val="24"/>
        </w:rPr>
        <w:t>Профилактика</w:t>
      </w:r>
      <w:r w:rsidRPr="005753EF">
        <w:rPr>
          <w:rFonts w:ascii="Times New Roman" w:hAnsi="Times New Roman"/>
          <w:i/>
          <w:sz w:val="24"/>
          <w:szCs w:val="24"/>
        </w:rPr>
        <w:t xml:space="preserve"> </w:t>
      </w:r>
      <w:r w:rsidRPr="005753EF">
        <w:rPr>
          <w:rFonts w:ascii="Times New Roman" w:hAnsi="Times New Roman"/>
          <w:sz w:val="24"/>
          <w:szCs w:val="24"/>
        </w:rPr>
        <w:t xml:space="preserve">в сфере охраны здоровья. Стратегии профилактики. </w:t>
      </w:r>
    </w:p>
    <w:p w14:paraId="5379CA19" w14:textId="77777777" w:rsidR="00525B67" w:rsidRPr="00525B67" w:rsidRDefault="00525B67" w:rsidP="00525B67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8C028A" w14:textId="77777777" w:rsidR="003859FB" w:rsidRPr="00E620EE" w:rsidRDefault="003859FB" w:rsidP="00525B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0EE">
        <w:rPr>
          <w:rFonts w:ascii="Times New Roman" w:hAnsi="Times New Roman"/>
          <w:sz w:val="24"/>
          <w:szCs w:val="24"/>
        </w:rPr>
        <w:t>Современные требования к вскармливанию доношенных и недоношенных новорожденных. 10 принципов ВОЗ по успешному грудному вскармливанию.</w:t>
      </w:r>
    </w:p>
    <w:p w14:paraId="594A3B9A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DD6A20" w14:textId="77777777" w:rsidR="003859FB" w:rsidRPr="00E620EE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0EE">
        <w:rPr>
          <w:rFonts w:ascii="Times New Roman" w:hAnsi="Times New Roman"/>
          <w:sz w:val="24"/>
          <w:szCs w:val="24"/>
        </w:rPr>
        <w:t>Геморрагический васкулит. Клиника. Диагностика. Лечение.</w:t>
      </w:r>
    </w:p>
    <w:p w14:paraId="3C3D05AC" w14:textId="77777777" w:rsidR="003859FB" w:rsidRDefault="003859FB" w:rsidP="003859FB">
      <w:pPr>
        <w:shd w:val="clear" w:color="auto" w:fill="FFFFFF"/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0F6C3B" w14:textId="77777777" w:rsidR="003859FB" w:rsidRPr="00E620EE" w:rsidRDefault="003859FB" w:rsidP="00525B67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0EE">
        <w:rPr>
          <w:rFonts w:ascii="Times New Roman" w:hAnsi="Times New Roman"/>
          <w:sz w:val="24"/>
          <w:szCs w:val="24"/>
        </w:rPr>
        <w:t xml:space="preserve">Принципы терапии острой лучевой на этапе оказания первой врачебной помощи. Сортировочные группы. Алгоритм купирования первичной реакции на облучение </w:t>
      </w:r>
    </w:p>
    <w:sectPr w:rsidR="003859FB" w:rsidRPr="00E6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E63"/>
    <w:multiLevelType w:val="hybridMultilevel"/>
    <w:tmpl w:val="C57CB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33EC"/>
    <w:multiLevelType w:val="hybridMultilevel"/>
    <w:tmpl w:val="244C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16DFF"/>
    <w:multiLevelType w:val="hybridMultilevel"/>
    <w:tmpl w:val="5C688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064E1"/>
    <w:multiLevelType w:val="hybridMultilevel"/>
    <w:tmpl w:val="CB16C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3FEC"/>
    <w:multiLevelType w:val="hybridMultilevel"/>
    <w:tmpl w:val="0E2A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5775"/>
    <w:multiLevelType w:val="hybridMultilevel"/>
    <w:tmpl w:val="D2A82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21919"/>
    <w:multiLevelType w:val="hybridMultilevel"/>
    <w:tmpl w:val="EEA01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DE"/>
    <w:multiLevelType w:val="hybridMultilevel"/>
    <w:tmpl w:val="1EFE5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B6674"/>
    <w:multiLevelType w:val="hybridMultilevel"/>
    <w:tmpl w:val="6314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23333"/>
    <w:multiLevelType w:val="hybridMultilevel"/>
    <w:tmpl w:val="ACB06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D1C2F"/>
    <w:multiLevelType w:val="hybridMultilevel"/>
    <w:tmpl w:val="F410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37F01"/>
    <w:multiLevelType w:val="hybridMultilevel"/>
    <w:tmpl w:val="8A8CA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16882"/>
    <w:multiLevelType w:val="hybridMultilevel"/>
    <w:tmpl w:val="33FA8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10446"/>
    <w:multiLevelType w:val="hybridMultilevel"/>
    <w:tmpl w:val="52645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92BF0"/>
    <w:multiLevelType w:val="hybridMultilevel"/>
    <w:tmpl w:val="99B07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0133"/>
    <w:multiLevelType w:val="hybridMultilevel"/>
    <w:tmpl w:val="40E0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03585"/>
    <w:multiLevelType w:val="hybridMultilevel"/>
    <w:tmpl w:val="C3AAC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14716"/>
    <w:multiLevelType w:val="hybridMultilevel"/>
    <w:tmpl w:val="9C8C3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D4044"/>
    <w:multiLevelType w:val="hybridMultilevel"/>
    <w:tmpl w:val="6074A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82A22"/>
    <w:multiLevelType w:val="hybridMultilevel"/>
    <w:tmpl w:val="448E5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30D14"/>
    <w:multiLevelType w:val="hybridMultilevel"/>
    <w:tmpl w:val="CE66D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67FC0"/>
    <w:multiLevelType w:val="hybridMultilevel"/>
    <w:tmpl w:val="5B66B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66039"/>
    <w:multiLevelType w:val="hybridMultilevel"/>
    <w:tmpl w:val="50FE7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82388"/>
    <w:multiLevelType w:val="hybridMultilevel"/>
    <w:tmpl w:val="8A8CA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E732B"/>
    <w:multiLevelType w:val="hybridMultilevel"/>
    <w:tmpl w:val="2B282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6031D"/>
    <w:multiLevelType w:val="hybridMultilevel"/>
    <w:tmpl w:val="3A2AC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302152">
    <w:abstractNumId w:val="24"/>
  </w:num>
  <w:num w:numId="2" w16cid:durableId="1861773931">
    <w:abstractNumId w:val="10"/>
  </w:num>
  <w:num w:numId="3" w16cid:durableId="1621186351">
    <w:abstractNumId w:val="0"/>
  </w:num>
  <w:num w:numId="4" w16cid:durableId="396123756">
    <w:abstractNumId w:val="13"/>
  </w:num>
  <w:num w:numId="5" w16cid:durableId="1275021472">
    <w:abstractNumId w:val="18"/>
  </w:num>
  <w:num w:numId="6" w16cid:durableId="769349914">
    <w:abstractNumId w:val="5"/>
  </w:num>
  <w:num w:numId="7" w16cid:durableId="878129958">
    <w:abstractNumId w:val="22"/>
  </w:num>
  <w:num w:numId="8" w16cid:durableId="384332576">
    <w:abstractNumId w:val="15"/>
  </w:num>
  <w:num w:numId="9" w16cid:durableId="1637830303">
    <w:abstractNumId w:val="20"/>
  </w:num>
  <w:num w:numId="10" w16cid:durableId="470487918">
    <w:abstractNumId w:val="8"/>
  </w:num>
  <w:num w:numId="11" w16cid:durableId="1770201669">
    <w:abstractNumId w:val="6"/>
  </w:num>
  <w:num w:numId="12" w16cid:durableId="81462092">
    <w:abstractNumId w:val="2"/>
  </w:num>
  <w:num w:numId="13" w16cid:durableId="466747756">
    <w:abstractNumId w:val="4"/>
  </w:num>
  <w:num w:numId="14" w16cid:durableId="1009481795">
    <w:abstractNumId w:val="16"/>
  </w:num>
  <w:num w:numId="15" w16cid:durableId="369691648">
    <w:abstractNumId w:val="14"/>
  </w:num>
  <w:num w:numId="16" w16cid:durableId="814765007">
    <w:abstractNumId w:val="19"/>
  </w:num>
  <w:num w:numId="17" w16cid:durableId="1660502958">
    <w:abstractNumId w:val="1"/>
  </w:num>
  <w:num w:numId="18" w16cid:durableId="2029021678">
    <w:abstractNumId w:val="3"/>
  </w:num>
  <w:num w:numId="19" w16cid:durableId="1747799509">
    <w:abstractNumId w:val="9"/>
  </w:num>
  <w:num w:numId="20" w16cid:durableId="15426905">
    <w:abstractNumId w:val="12"/>
  </w:num>
  <w:num w:numId="21" w16cid:durableId="573710335">
    <w:abstractNumId w:val="23"/>
  </w:num>
  <w:num w:numId="22" w16cid:durableId="2110613340">
    <w:abstractNumId w:val="11"/>
  </w:num>
  <w:num w:numId="23" w16cid:durableId="1154180610">
    <w:abstractNumId w:val="25"/>
  </w:num>
  <w:num w:numId="24" w16cid:durableId="811604167">
    <w:abstractNumId w:val="7"/>
  </w:num>
  <w:num w:numId="25" w16cid:durableId="327976">
    <w:abstractNumId w:val="21"/>
  </w:num>
  <w:num w:numId="26" w16cid:durableId="1021169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FB"/>
    <w:rsid w:val="002E656E"/>
    <w:rsid w:val="003859FB"/>
    <w:rsid w:val="00525B67"/>
    <w:rsid w:val="009A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EE01"/>
  <w15:chartTrackingRefBased/>
  <w15:docId w15:val="{66F5E1FA-3383-4CDF-AC94-2C6DAE96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9FB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59FB"/>
    <w:pPr>
      <w:ind w:left="720"/>
      <w:contextualSpacing/>
    </w:pPr>
  </w:style>
  <w:style w:type="character" w:styleId="a4">
    <w:name w:val="Emphasis"/>
    <w:basedOn w:val="a0"/>
    <w:uiPriority w:val="99"/>
    <w:qFormat/>
    <w:rsid w:val="003859FB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Sergeev</dc:creator>
  <cp:keywords/>
  <dc:description/>
  <cp:lastModifiedBy>Ivan Sergeev</cp:lastModifiedBy>
  <cp:revision>2</cp:revision>
  <dcterms:created xsi:type="dcterms:W3CDTF">2023-03-20T13:43:00Z</dcterms:created>
  <dcterms:modified xsi:type="dcterms:W3CDTF">2023-03-20T14:16:00Z</dcterms:modified>
</cp:coreProperties>
</file>